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503D" w14:textId="77777777" w:rsidR="00C74C63" w:rsidRPr="00DE4E57" w:rsidRDefault="00A85E16">
      <w:pPr>
        <w:pStyle w:val="Heading1"/>
        <w:spacing w:before="79"/>
        <w:ind w:left="2051" w:right="1972"/>
        <w:jc w:val="center"/>
        <w:rPr>
          <w:rFonts w:ascii="Arial" w:hAnsi="Arial" w:cs="Arial"/>
          <w:sz w:val="22"/>
          <w:u w:val="none"/>
        </w:rPr>
      </w:pPr>
      <w:r w:rsidRPr="00DE4E57">
        <w:rPr>
          <w:rFonts w:ascii="Arial" w:hAnsi="Arial" w:cs="Arial"/>
          <w:sz w:val="22"/>
          <w:u w:val="thick"/>
        </w:rPr>
        <w:t>GENERAL RULE 22</w:t>
      </w:r>
    </w:p>
    <w:p w14:paraId="28E6FBCB" w14:textId="77777777" w:rsidR="00C74C63" w:rsidRPr="00DE4E57" w:rsidRDefault="00A85E16" w:rsidP="00A85E16">
      <w:pPr>
        <w:ind w:left="1440" w:right="1600"/>
        <w:jc w:val="center"/>
        <w:rPr>
          <w:rFonts w:ascii="Arial" w:hAnsi="Arial" w:cs="Arial"/>
          <w:b/>
        </w:rPr>
      </w:pPr>
      <w:r w:rsidRPr="00DE4E57">
        <w:rPr>
          <w:rFonts w:ascii="Arial" w:hAnsi="Arial" w:cs="Arial"/>
          <w:b/>
          <w:u w:val="thick"/>
        </w:rPr>
        <w:t>ACCESS TO GUARDIANSHIP AND CONSERVATORSHIP COURT RECORDS</w:t>
      </w:r>
    </w:p>
    <w:p w14:paraId="40566719" w14:textId="77777777" w:rsidR="00C74C63" w:rsidRPr="00DE4E57" w:rsidRDefault="00C74C63">
      <w:pPr>
        <w:pStyle w:val="BodyText"/>
        <w:rPr>
          <w:rFonts w:ascii="Arial" w:hAnsi="Arial" w:cs="Arial"/>
          <w:b/>
          <w:sz w:val="18"/>
        </w:rPr>
      </w:pPr>
    </w:p>
    <w:p w14:paraId="4DBE0771" w14:textId="77777777" w:rsidR="00C74C63" w:rsidRPr="00DE4E57" w:rsidRDefault="00A85E16">
      <w:pPr>
        <w:spacing w:before="90"/>
        <w:ind w:left="120" w:right="113"/>
        <w:rPr>
          <w:rFonts w:ascii="Arial" w:hAnsi="Arial" w:cs="Arial"/>
          <w:b/>
        </w:rPr>
      </w:pPr>
      <w:r w:rsidRPr="00DE4E57">
        <w:rPr>
          <w:rFonts w:ascii="Arial" w:hAnsi="Arial" w:cs="Arial"/>
          <w:b/>
        </w:rPr>
        <w:t>This document is designed to assist you in understanding restricted access documents (confidential documents) and restricted personal identifiers. It is a guide and not a legal document. Access to guardianship and conservatorship case documents is governed by general court rule GR 22. It is the sole responsibility of the attorneys and /or parties to comply with this rule.</w:t>
      </w:r>
    </w:p>
    <w:p w14:paraId="0E306055" w14:textId="77777777" w:rsidR="00C74C63" w:rsidRPr="00DE4E57" w:rsidRDefault="00A85E16">
      <w:pPr>
        <w:ind w:left="120"/>
        <w:rPr>
          <w:rFonts w:ascii="Arial" w:hAnsi="Arial" w:cs="Arial"/>
          <w:b/>
        </w:rPr>
      </w:pPr>
      <w:r w:rsidRPr="00DE4E57">
        <w:rPr>
          <w:rFonts w:ascii="Arial" w:hAnsi="Arial" w:cs="Arial"/>
          <w:b/>
        </w:rPr>
        <w:t>Court staff or the clerk will not review each document for compliance with this rule.</w:t>
      </w:r>
    </w:p>
    <w:p w14:paraId="70EC4E07" w14:textId="77777777" w:rsidR="00C74C63" w:rsidRPr="00DE4E57" w:rsidRDefault="00C74C63">
      <w:pPr>
        <w:pStyle w:val="BodyText"/>
        <w:rPr>
          <w:rFonts w:ascii="Arial" w:hAnsi="Arial" w:cs="Arial"/>
          <w:b/>
          <w:sz w:val="18"/>
        </w:rPr>
      </w:pPr>
    </w:p>
    <w:p w14:paraId="347A68BE" w14:textId="77777777" w:rsidR="00C74C63" w:rsidRPr="00DE4E57" w:rsidRDefault="00A85E16">
      <w:pPr>
        <w:spacing w:before="90"/>
        <w:ind w:left="119"/>
        <w:rPr>
          <w:rFonts w:ascii="Arial" w:hAnsi="Arial" w:cs="Arial"/>
          <w:b/>
        </w:rPr>
      </w:pPr>
      <w:r w:rsidRPr="00DE4E57">
        <w:rPr>
          <w:rFonts w:ascii="Arial" w:hAnsi="Arial" w:cs="Arial"/>
          <w:b/>
          <w:u w:val="thick"/>
        </w:rPr>
        <w:t>RESTRICTED ACCESS DOCUMENTS</w:t>
      </w:r>
    </w:p>
    <w:p w14:paraId="571100C9" w14:textId="77777777" w:rsidR="00C74C63" w:rsidRPr="00DE4E57" w:rsidRDefault="00C74C63">
      <w:pPr>
        <w:pStyle w:val="BodyText"/>
        <w:rPr>
          <w:rFonts w:ascii="Arial" w:hAnsi="Arial" w:cs="Arial"/>
          <w:b/>
          <w:sz w:val="14"/>
        </w:rPr>
      </w:pPr>
    </w:p>
    <w:p w14:paraId="42580EF6" w14:textId="284EFF42" w:rsidR="00C74C63" w:rsidRPr="00DE4E57" w:rsidRDefault="00A85E16">
      <w:pPr>
        <w:pStyle w:val="BodyText"/>
        <w:spacing w:before="90"/>
        <w:ind w:left="119" w:right="113"/>
        <w:rPr>
          <w:rFonts w:ascii="Arial" w:hAnsi="Arial" w:cs="Arial"/>
          <w:sz w:val="22"/>
        </w:rPr>
      </w:pPr>
      <w:r w:rsidRPr="00DE4E57">
        <w:rPr>
          <w:rFonts w:ascii="Arial" w:hAnsi="Arial" w:cs="Arial"/>
          <w:sz w:val="22"/>
        </w:rPr>
        <w:t xml:space="preserve">Most Superior Court cases are open to the public. Some documents in guardianship and conservatorship cases are considered restricted access documents and are not available to the public. These documents </w:t>
      </w:r>
      <w:r w:rsidRPr="00DE4E57">
        <w:rPr>
          <w:rFonts w:ascii="Arial" w:hAnsi="Arial" w:cs="Arial"/>
          <w:b/>
          <w:sz w:val="22"/>
          <w:u w:val="thick"/>
        </w:rPr>
        <w:t>must</w:t>
      </w:r>
      <w:r w:rsidRPr="00DE4E57">
        <w:rPr>
          <w:rFonts w:ascii="Arial" w:hAnsi="Arial" w:cs="Arial"/>
          <w:b/>
          <w:sz w:val="22"/>
        </w:rPr>
        <w:t xml:space="preserve"> </w:t>
      </w:r>
      <w:r w:rsidRPr="00DE4E57">
        <w:rPr>
          <w:rFonts w:ascii="Arial" w:hAnsi="Arial" w:cs="Arial"/>
          <w:sz w:val="22"/>
        </w:rPr>
        <w:t xml:space="preserve">be filed with a Sealed Confidential Document Cover sheet (form </w:t>
      </w:r>
      <w:r w:rsidR="00C44CB6" w:rsidRPr="00DE4E57">
        <w:rPr>
          <w:rFonts w:ascii="Arial" w:hAnsi="Arial" w:cs="Arial"/>
          <w:sz w:val="22"/>
        </w:rPr>
        <w:t>WPF GDN 03.0100</w:t>
      </w:r>
      <w:r w:rsidRPr="00DE4E57">
        <w:rPr>
          <w:rFonts w:ascii="Arial" w:hAnsi="Arial" w:cs="Arial"/>
          <w:sz w:val="22"/>
        </w:rPr>
        <w:t>) and will then be automatically sealed by the clerk. The other parties in the case, their attorneys, court personnel and certain other interested persons may have access to these documents.</w:t>
      </w:r>
    </w:p>
    <w:p w14:paraId="4742DB71" w14:textId="77777777" w:rsidR="00C74C63" w:rsidRPr="00DE4E57" w:rsidRDefault="00C74C63">
      <w:pPr>
        <w:pStyle w:val="BodyText"/>
        <w:rPr>
          <w:rFonts w:ascii="Arial" w:hAnsi="Arial" w:cs="Arial"/>
          <w:sz w:val="22"/>
        </w:rPr>
      </w:pPr>
    </w:p>
    <w:p w14:paraId="6AE9635A" w14:textId="77777777" w:rsidR="00C74C63" w:rsidRPr="00DE4E57" w:rsidRDefault="00A85E16">
      <w:pPr>
        <w:pStyle w:val="BodyText"/>
        <w:ind w:left="120"/>
        <w:rPr>
          <w:rFonts w:ascii="Arial" w:hAnsi="Arial" w:cs="Arial"/>
          <w:sz w:val="22"/>
        </w:rPr>
      </w:pPr>
      <w:r w:rsidRPr="00DE4E57">
        <w:rPr>
          <w:rFonts w:ascii="Arial" w:hAnsi="Arial" w:cs="Arial"/>
          <w:sz w:val="22"/>
        </w:rPr>
        <w:t>Restricted Access Documents:</w:t>
      </w:r>
    </w:p>
    <w:p w14:paraId="7C1F2C3C" w14:textId="77777777" w:rsidR="00C74C63" w:rsidRPr="00DE4E57" w:rsidRDefault="00A14D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rFonts w:ascii="Arial" w:hAnsi="Arial" w:cs="Arial"/>
        </w:rPr>
      </w:pPr>
      <w:r w:rsidRPr="00DE4E57">
        <w:rPr>
          <w:rFonts w:ascii="Arial" w:hAnsi="Arial" w:cs="Arial"/>
        </w:rPr>
        <w:t>Court Visitor</w:t>
      </w:r>
      <w:r w:rsidR="00A85E16" w:rsidRPr="00DE4E57">
        <w:rPr>
          <w:rFonts w:ascii="Arial" w:hAnsi="Arial" w:cs="Arial"/>
          <w:spacing w:val="-2"/>
        </w:rPr>
        <w:t xml:space="preserve"> </w:t>
      </w:r>
      <w:r w:rsidR="00A85E16" w:rsidRPr="00DE4E57">
        <w:rPr>
          <w:rFonts w:ascii="Arial" w:hAnsi="Arial" w:cs="Arial"/>
        </w:rPr>
        <w:t>Report</w:t>
      </w:r>
    </w:p>
    <w:p w14:paraId="52F0E1F2" w14:textId="77777777" w:rsidR="00C74C63" w:rsidRPr="00DE4E57" w:rsidRDefault="00A14DC5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Arial" w:hAnsi="Arial" w:cs="Arial"/>
        </w:rPr>
      </w:pPr>
      <w:r w:rsidRPr="00DE4E57">
        <w:rPr>
          <w:rFonts w:ascii="Arial" w:hAnsi="Arial" w:cs="Arial"/>
        </w:rPr>
        <w:t>Professional Evaluation</w:t>
      </w:r>
    </w:p>
    <w:p w14:paraId="7E18ED55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Arial" w:hAnsi="Arial" w:cs="Arial"/>
        </w:rPr>
      </w:pPr>
      <w:r w:rsidRPr="00DE4E57">
        <w:rPr>
          <w:rFonts w:ascii="Arial" w:hAnsi="Arial" w:cs="Arial"/>
        </w:rPr>
        <w:t>Financial Source Documents</w:t>
      </w:r>
    </w:p>
    <w:p w14:paraId="1D55CFB7" w14:textId="378F28C1" w:rsidR="00C74C63" w:rsidRPr="00DE4E57" w:rsidRDefault="00C44CB6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exact"/>
        <w:rPr>
          <w:rFonts w:ascii="Arial" w:hAnsi="Arial" w:cs="Arial"/>
        </w:rPr>
      </w:pPr>
      <w:r w:rsidRPr="00DE4E57">
        <w:rPr>
          <w:rFonts w:ascii="Arial" w:hAnsi="Arial" w:cs="Arial"/>
        </w:rPr>
        <w:t>GDN ALL 006</w:t>
      </w:r>
      <w:r w:rsidR="00A85E16" w:rsidRPr="00DE4E57">
        <w:rPr>
          <w:rFonts w:ascii="Arial" w:hAnsi="Arial" w:cs="Arial"/>
        </w:rPr>
        <w:t>-Receipt of Funds into Blocked</w:t>
      </w:r>
      <w:r w:rsidR="00A85E16" w:rsidRPr="00DE4E57">
        <w:rPr>
          <w:rFonts w:ascii="Arial" w:hAnsi="Arial" w:cs="Arial"/>
          <w:spacing w:val="-2"/>
        </w:rPr>
        <w:t xml:space="preserve"> </w:t>
      </w:r>
      <w:r w:rsidR="00A85E16" w:rsidRPr="00DE4E57">
        <w:rPr>
          <w:rFonts w:ascii="Arial" w:hAnsi="Arial" w:cs="Arial"/>
        </w:rPr>
        <w:t>Account</w:t>
      </w:r>
    </w:p>
    <w:p w14:paraId="000E6073" w14:textId="5FCE01D0" w:rsidR="00C74C63" w:rsidRPr="00DE4E57" w:rsidRDefault="00C44CB6">
      <w:pPr>
        <w:pStyle w:val="ListParagraph"/>
        <w:numPr>
          <w:ilvl w:val="1"/>
          <w:numId w:val="1"/>
        </w:numPr>
        <w:tabs>
          <w:tab w:val="left" w:pos="1200"/>
        </w:tabs>
        <w:spacing w:line="240" w:lineRule="auto"/>
        <w:rPr>
          <w:rFonts w:ascii="Arial" w:hAnsi="Arial" w:cs="Arial"/>
        </w:rPr>
      </w:pPr>
      <w:r w:rsidRPr="00DE4E57">
        <w:rPr>
          <w:rFonts w:ascii="Arial" w:hAnsi="Arial" w:cs="Arial"/>
        </w:rPr>
        <w:t xml:space="preserve">SPO WPF GDN 04.0400 </w:t>
      </w:r>
      <w:r w:rsidR="00A85E16" w:rsidRPr="00DE4E57">
        <w:rPr>
          <w:rFonts w:ascii="Arial" w:hAnsi="Arial" w:cs="Arial"/>
        </w:rPr>
        <w:t xml:space="preserve">-Declaration of </w:t>
      </w:r>
      <w:r w:rsidR="00A14DC5" w:rsidRPr="00DE4E57">
        <w:rPr>
          <w:rFonts w:ascii="Arial" w:hAnsi="Arial" w:cs="Arial"/>
        </w:rPr>
        <w:t>Conservator</w:t>
      </w:r>
      <w:r w:rsidR="00A85E16" w:rsidRPr="00DE4E57">
        <w:rPr>
          <w:rFonts w:ascii="Arial" w:hAnsi="Arial" w:cs="Arial"/>
        </w:rPr>
        <w:t xml:space="preserve"> Assets Held in Financial</w:t>
      </w:r>
      <w:r w:rsidR="00A85E16" w:rsidRPr="00DE4E57">
        <w:rPr>
          <w:rFonts w:ascii="Arial" w:hAnsi="Arial" w:cs="Arial"/>
          <w:spacing w:val="-5"/>
        </w:rPr>
        <w:t xml:space="preserve"> </w:t>
      </w:r>
      <w:r w:rsidR="00A85E16" w:rsidRPr="00DE4E57">
        <w:rPr>
          <w:rFonts w:ascii="Arial" w:hAnsi="Arial" w:cs="Arial"/>
        </w:rPr>
        <w:t>Institution</w:t>
      </w:r>
    </w:p>
    <w:p w14:paraId="4296BB66" w14:textId="77777777" w:rsidR="00C74C63" w:rsidRPr="00DE4E57" w:rsidRDefault="00A85E16">
      <w:pPr>
        <w:pStyle w:val="ListParagraph"/>
        <w:numPr>
          <w:ilvl w:val="1"/>
          <w:numId w:val="1"/>
        </w:numPr>
        <w:tabs>
          <w:tab w:val="left" w:pos="1200"/>
        </w:tabs>
        <w:spacing w:line="240" w:lineRule="auto"/>
        <w:rPr>
          <w:rFonts w:ascii="Arial" w:hAnsi="Arial" w:cs="Arial"/>
        </w:rPr>
      </w:pPr>
      <w:r w:rsidRPr="00DE4E57">
        <w:rPr>
          <w:rFonts w:ascii="Arial" w:hAnsi="Arial" w:cs="Arial"/>
        </w:rPr>
        <w:t>Social Security Representative Payee</w:t>
      </w:r>
      <w:r w:rsidRPr="00DE4E57">
        <w:rPr>
          <w:rFonts w:ascii="Arial" w:hAnsi="Arial" w:cs="Arial"/>
          <w:spacing w:val="-5"/>
        </w:rPr>
        <w:t xml:space="preserve"> </w:t>
      </w:r>
      <w:r w:rsidRPr="00DE4E57">
        <w:rPr>
          <w:rFonts w:ascii="Arial" w:hAnsi="Arial" w:cs="Arial"/>
        </w:rPr>
        <w:t>Report</w:t>
      </w:r>
    </w:p>
    <w:p w14:paraId="2BA0048F" w14:textId="77777777" w:rsidR="00C74C63" w:rsidRPr="00DE4E57" w:rsidRDefault="00A85E16">
      <w:pPr>
        <w:pStyle w:val="ListParagraph"/>
        <w:numPr>
          <w:ilvl w:val="1"/>
          <w:numId w:val="1"/>
        </w:numPr>
        <w:tabs>
          <w:tab w:val="left" w:pos="1200"/>
        </w:tabs>
        <w:spacing w:line="240" w:lineRule="auto"/>
        <w:ind w:right="380"/>
        <w:rPr>
          <w:rFonts w:ascii="Arial" w:hAnsi="Arial" w:cs="Arial"/>
        </w:rPr>
      </w:pPr>
      <w:r w:rsidRPr="00DE4E57">
        <w:rPr>
          <w:rFonts w:ascii="Arial" w:hAnsi="Arial" w:cs="Arial"/>
        </w:rPr>
        <w:t xml:space="preserve">Tax returns, W-2s and schedules, wage stubs, credit card statements, financial institution statements, checks or the equivalent, check registers, loan application documents, retirement plan orders, as well as other financial information sealed </w:t>
      </w:r>
      <w:r w:rsidRPr="00DE4E57">
        <w:rPr>
          <w:rFonts w:ascii="Arial" w:hAnsi="Arial" w:cs="Arial"/>
          <w:spacing w:val="-7"/>
        </w:rPr>
        <w:t xml:space="preserve">by </w:t>
      </w:r>
      <w:r w:rsidRPr="00DE4E57">
        <w:rPr>
          <w:rFonts w:ascii="Arial" w:hAnsi="Arial" w:cs="Arial"/>
        </w:rPr>
        <w:t>court order</w:t>
      </w:r>
    </w:p>
    <w:p w14:paraId="34DBB485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4" w:lineRule="exact"/>
        <w:rPr>
          <w:rFonts w:ascii="Arial" w:hAnsi="Arial" w:cs="Arial"/>
        </w:rPr>
      </w:pPr>
      <w:r w:rsidRPr="00DE4E57">
        <w:rPr>
          <w:rFonts w:ascii="Arial" w:hAnsi="Arial" w:cs="Arial"/>
        </w:rPr>
        <w:t>Personal Health Care Records (must be produced and signed by a health care</w:t>
      </w:r>
      <w:r w:rsidRPr="00DE4E57">
        <w:rPr>
          <w:rFonts w:ascii="Arial" w:hAnsi="Arial" w:cs="Arial"/>
          <w:spacing w:val="-9"/>
        </w:rPr>
        <w:t xml:space="preserve"> </w:t>
      </w:r>
      <w:r w:rsidRPr="00DE4E57">
        <w:rPr>
          <w:rFonts w:ascii="Arial" w:hAnsi="Arial" w:cs="Arial"/>
        </w:rPr>
        <w:t>provider)</w:t>
      </w:r>
    </w:p>
    <w:p w14:paraId="6BA93299" w14:textId="77777777" w:rsidR="00C74C63" w:rsidRPr="00DE4E57" w:rsidRDefault="00C74C63">
      <w:pPr>
        <w:pStyle w:val="BodyText"/>
        <w:spacing w:before="1"/>
        <w:rPr>
          <w:rFonts w:ascii="Arial" w:hAnsi="Arial" w:cs="Arial"/>
          <w:sz w:val="22"/>
        </w:rPr>
      </w:pPr>
    </w:p>
    <w:p w14:paraId="55070115" w14:textId="77777777" w:rsidR="00C74C63" w:rsidRPr="00DE4E57" w:rsidRDefault="00A85E16">
      <w:pPr>
        <w:pStyle w:val="Heading1"/>
        <w:rPr>
          <w:rFonts w:ascii="Arial" w:hAnsi="Arial" w:cs="Arial"/>
          <w:sz w:val="22"/>
          <w:u w:val="none"/>
        </w:rPr>
      </w:pPr>
      <w:r w:rsidRPr="00DE4E57">
        <w:rPr>
          <w:rFonts w:ascii="Arial" w:hAnsi="Arial" w:cs="Arial"/>
          <w:sz w:val="22"/>
          <w:u w:val="thick"/>
        </w:rPr>
        <w:t>RESTRICTED PERSONAL IDENTIFIERS</w:t>
      </w:r>
    </w:p>
    <w:p w14:paraId="08C152E1" w14:textId="77777777" w:rsidR="00C74C63" w:rsidRPr="00DE4E57" w:rsidRDefault="00C74C63">
      <w:pPr>
        <w:pStyle w:val="BodyText"/>
        <w:rPr>
          <w:rFonts w:ascii="Arial" w:hAnsi="Arial" w:cs="Arial"/>
          <w:b/>
          <w:sz w:val="14"/>
        </w:rPr>
      </w:pPr>
    </w:p>
    <w:p w14:paraId="7B9549D1" w14:textId="77777777" w:rsidR="00C74C63" w:rsidRPr="00DE4E57" w:rsidRDefault="00A85E16">
      <w:pPr>
        <w:pStyle w:val="BodyText"/>
        <w:spacing w:before="90"/>
        <w:ind w:left="119" w:right="556"/>
        <w:rPr>
          <w:rFonts w:ascii="Arial" w:hAnsi="Arial" w:cs="Arial"/>
          <w:sz w:val="22"/>
        </w:rPr>
      </w:pPr>
      <w:r w:rsidRPr="00DE4E57">
        <w:rPr>
          <w:rFonts w:ascii="Arial" w:hAnsi="Arial" w:cs="Arial"/>
          <w:sz w:val="22"/>
        </w:rPr>
        <w:t>Unless otherwise necessary or ordered by the court, persons filing documents with the court should not include and, if present, shall remove or omit personal identifiers.</w:t>
      </w:r>
    </w:p>
    <w:p w14:paraId="293DCD17" w14:textId="77777777" w:rsidR="00C74C63" w:rsidRPr="00DE4E57" w:rsidRDefault="00C74C63">
      <w:pPr>
        <w:pStyle w:val="BodyText"/>
        <w:rPr>
          <w:rFonts w:ascii="Arial" w:hAnsi="Arial" w:cs="Arial"/>
          <w:sz w:val="22"/>
        </w:rPr>
      </w:pPr>
    </w:p>
    <w:p w14:paraId="42F1B011" w14:textId="77777777" w:rsidR="00C74C63" w:rsidRPr="00DE4E57" w:rsidRDefault="00A85E16">
      <w:pPr>
        <w:pStyle w:val="BodyText"/>
        <w:ind w:left="119"/>
        <w:rPr>
          <w:rFonts w:ascii="Arial" w:hAnsi="Arial" w:cs="Arial"/>
          <w:sz w:val="22"/>
        </w:rPr>
      </w:pPr>
      <w:r w:rsidRPr="00DE4E57">
        <w:rPr>
          <w:rFonts w:ascii="Arial" w:hAnsi="Arial" w:cs="Arial"/>
          <w:sz w:val="22"/>
        </w:rPr>
        <w:t>Restricted Personal Identifiers are a party’s:</w:t>
      </w:r>
    </w:p>
    <w:p w14:paraId="04FBA5F8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Arial" w:hAnsi="Arial" w:cs="Arial"/>
        </w:rPr>
      </w:pPr>
      <w:r w:rsidRPr="00DE4E57">
        <w:rPr>
          <w:rFonts w:ascii="Arial" w:hAnsi="Arial" w:cs="Arial"/>
        </w:rPr>
        <w:t>social security</w:t>
      </w:r>
      <w:r w:rsidRPr="00DE4E57">
        <w:rPr>
          <w:rFonts w:ascii="Arial" w:hAnsi="Arial" w:cs="Arial"/>
          <w:spacing w:val="-1"/>
        </w:rPr>
        <w:t xml:space="preserve"> </w:t>
      </w:r>
      <w:r w:rsidRPr="00DE4E57">
        <w:rPr>
          <w:rFonts w:ascii="Arial" w:hAnsi="Arial" w:cs="Arial"/>
        </w:rPr>
        <w:t>number</w:t>
      </w:r>
    </w:p>
    <w:p w14:paraId="451ACC66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Arial" w:hAnsi="Arial" w:cs="Arial"/>
        </w:rPr>
      </w:pPr>
      <w:r w:rsidRPr="00DE4E57">
        <w:rPr>
          <w:rFonts w:ascii="Arial" w:hAnsi="Arial" w:cs="Arial"/>
        </w:rPr>
        <w:t>driver’s license</w:t>
      </w:r>
      <w:r w:rsidRPr="00DE4E57">
        <w:rPr>
          <w:rFonts w:ascii="Arial" w:hAnsi="Arial" w:cs="Arial"/>
          <w:spacing w:val="-1"/>
        </w:rPr>
        <w:t xml:space="preserve"> </w:t>
      </w:r>
      <w:r w:rsidRPr="00DE4E57">
        <w:rPr>
          <w:rFonts w:ascii="Arial" w:hAnsi="Arial" w:cs="Arial"/>
        </w:rPr>
        <w:t>number</w:t>
      </w:r>
    </w:p>
    <w:p w14:paraId="30202C76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Arial" w:hAnsi="Arial" w:cs="Arial"/>
        </w:rPr>
      </w:pPr>
      <w:r w:rsidRPr="00DE4E57">
        <w:rPr>
          <w:rFonts w:ascii="Arial" w:hAnsi="Arial" w:cs="Arial"/>
        </w:rPr>
        <w:t>telephone</w:t>
      </w:r>
      <w:r w:rsidRPr="00DE4E57">
        <w:rPr>
          <w:rFonts w:ascii="Arial" w:hAnsi="Arial" w:cs="Arial"/>
          <w:spacing w:val="-1"/>
        </w:rPr>
        <w:t xml:space="preserve"> </w:t>
      </w:r>
      <w:r w:rsidRPr="00DE4E57">
        <w:rPr>
          <w:rFonts w:ascii="Arial" w:hAnsi="Arial" w:cs="Arial"/>
        </w:rPr>
        <w:t>number</w:t>
      </w:r>
    </w:p>
    <w:p w14:paraId="5D5688AD" w14:textId="77777777" w:rsidR="00C74C63" w:rsidRPr="00DE4E57" w:rsidRDefault="00A85E1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right="408"/>
        <w:rPr>
          <w:rFonts w:ascii="Arial" w:hAnsi="Arial" w:cs="Arial"/>
        </w:rPr>
      </w:pPr>
      <w:r w:rsidRPr="00DE4E57">
        <w:rPr>
          <w:rFonts w:ascii="Arial" w:hAnsi="Arial" w:cs="Arial"/>
        </w:rPr>
        <w:t>financial account number (If financial account numbers are relevant, only the last four digits should be included in the</w:t>
      </w:r>
      <w:r w:rsidRPr="00DE4E57">
        <w:rPr>
          <w:rFonts w:ascii="Arial" w:hAnsi="Arial" w:cs="Arial"/>
          <w:spacing w:val="-7"/>
        </w:rPr>
        <w:t xml:space="preserve"> </w:t>
      </w:r>
      <w:r w:rsidRPr="00DE4E57">
        <w:rPr>
          <w:rFonts w:ascii="Arial" w:hAnsi="Arial" w:cs="Arial"/>
        </w:rPr>
        <w:t>document.)</w:t>
      </w:r>
    </w:p>
    <w:p w14:paraId="4C86D5E2" w14:textId="5280CF82" w:rsidR="00C74C63" w:rsidRPr="00DE4E57" w:rsidRDefault="00A85E16" w:rsidP="005E3C8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Arial" w:hAnsi="Arial" w:cs="Arial"/>
          <w:sz w:val="20"/>
        </w:rPr>
      </w:pPr>
      <w:r w:rsidRPr="00DE4E57">
        <w:rPr>
          <w:rFonts w:ascii="Arial" w:hAnsi="Arial" w:cs="Arial"/>
        </w:rPr>
        <w:t>date of birth of a minor</w:t>
      </w:r>
      <w:r w:rsidRPr="00DE4E57">
        <w:rPr>
          <w:rFonts w:ascii="Arial" w:hAnsi="Arial" w:cs="Arial"/>
          <w:spacing w:val="-1"/>
        </w:rPr>
        <w:t xml:space="preserve"> </w:t>
      </w:r>
      <w:r w:rsidRPr="00DE4E57">
        <w:rPr>
          <w:rFonts w:ascii="Arial" w:hAnsi="Arial" w:cs="Arial"/>
        </w:rPr>
        <w:t>child</w:t>
      </w:r>
    </w:p>
    <w:sectPr w:rsidR="00C74C63" w:rsidRPr="00DE4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6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C326" w14:textId="77777777" w:rsidR="004A4B35" w:rsidRDefault="004A4B35" w:rsidP="005E3C8E">
      <w:r>
        <w:separator/>
      </w:r>
    </w:p>
  </w:endnote>
  <w:endnote w:type="continuationSeparator" w:id="0">
    <w:p w14:paraId="188C2292" w14:textId="77777777" w:rsidR="004A4B35" w:rsidRDefault="004A4B35" w:rsidP="005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C74B" w14:textId="77777777" w:rsidR="00DE4E57" w:rsidRDefault="00DE4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3740" w14:textId="77777777" w:rsidR="005E3C8E" w:rsidRPr="00DE4E57" w:rsidRDefault="005E3C8E" w:rsidP="005E3C8E">
    <w:pPr>
      <w:tabs>
        <w:tab w:val="left" w:pos="5690"/>
      </w:tabs>
      <w:spacing w:before="92"/>
      <w:ind w:left="120"/>
      <w:rPr>
        <w:rFonts w:ascii="Arial" w:hAnsi="Arial" w:cs="Arial"/>
        <w:sz w:val="18"/>
      </w:rPr>
    </w:pPr>
    <w:bookmarkStart w:id="0" w:name="_GoBack"/>
    <w:r w:rsidRPr="00DE4E57">
      <w:rPr>
        <w:rFonts w:ascii="Arial" w:hAnsi="Arial" w:cs="Arial"/>
        <w:sz w:val="18"/>
      </w:rPr>
      <w:t>SPO</w:t>
    </w:r>
    <w:r w:rsidRPr="00DE4E57">
      <w:rPr>
        <w:rFonts w:ascii="Arial" w:hAnsi="Arial" w:cs="Arial"/>
        <w:spacing w:val="-2"/>
        <w:sz w:val="18"/>
      </w:rPr>
      <w:t xml:space="preserve"> </w:t>
    </w:r>
    <w:r w:rsidRPr="00DE4E57">
      <w:rPr>
        <w:rFonts w:ascii="Arial" w:hAnsi="Arial" w:cs="Arial"/>
        <w:sz w:val="18"/>
      </w:rPr>
      <w:t>GDN</w:t>
    </w:r>
    <w:r w:rsidRPr="00DE4E57">
      <w:rPr>
        <w:rFonts w:ascii="Arial" w:hAnsi="Arial" w:cs="Arial"/>
        <w:spacing w:val="-1"/>
        <w:sz w:val="18"/>
      </w:rPr>
      <w:t xml:space="preserve"> </w:t>
    </w:r>
    <w:r w:rsidRPr="00DE4E57">
      <w:rPr>
        <w:rFonts w:ascii="Arial" w:hAnsi="Arial" w:cs="Arial"/>
        <w:sz w:val="18"/>
      </w:rPr>
      <w:t>00.0000</w:t>
    </w:r>
    <w:r w:rsidRPr="00DE4E57">
      <w:rPr>
        <w:rFonts w:ascii="Arial" w:hAnsi="Arial" w:cs="Arial"/>
        <w:sz w:val="18"/>
      </w:rPr>
      <w:tab/>
      <w:t>RESTRICTED ACCESS DOCUMENT</w:t>
    </w:r>
    <w:r w:rsidRPr="00DE4E57">
      <w:rPr>
        <w:rFonts w:ascii="Arial" w:hAnsi="Arial" w:cs="Arial"/>
        <w:spacing w:val="-3"/>
        <w:sz w:val="18"/>
      </w:rPr>
      <w:t xml:space="preserve"> </w:t>
    </w:r>
    <w:r w:rsidRPr="00DE4E57">
      <w:rPr>
        <w:rFonts w:ascii="Arial" w:hAnsi="Arial" w:cs="Arial"/>
        <w:sz w:val="18"/>
      </w:rPr>
      <w:t>INFO</w:t>
    </w:r>
  </w:p>
  <w:bookmarkEnd w:id="0"/>
  <w:p w14:paraId="1FDEDBFB" w14:textId="77777777" w:rsidR="005E3C8E" w:rsidRDefault="005E3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42A3" w14:textId="77777777" w:rsidR="00DE4E57" w:rsidRDefault="00DE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A152" w14:textId="77777777" w:rsidR="004A4B35" w:rsidRDefault="004A4B35" w:rsidP="005E3C8E">
      <w:r>
        <w:separator/>
      </w:r>
    </w:p>
  </w:footnote>
  <w:footnote w:type="continuationSeparator" w:id="0">
    <w:p w14:paraId="3B9095D7" w14:textId="77777777" w:rsidR="004A4B35" w:rsidRDefault="004A4B35" w:rsidP="005E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4CD1" w14:textId="77777777" w:rsidR="00DE4E57" w:rsidRDefault="00DE4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78C6" w14:textId="77777777" w:rsidR="00DE4E57" w:rsidRDefault="00DE4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1B36" w14:textId="77777777" w:rsidR="00DE4E57" w:rsidRDefault="00DE4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3B06"/>
    <w:multiLevelType w:val="hybridMultilevel"/>
    <w:tmpl w:val="2C0897D4"/>
    <w:lvl w:ilvl="0" w:tplc="42D090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68439A">
      <w:numFmt w:val="bullet"/>
      <w:lvlText w:val="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F81AACBC"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5ABC7848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F0824CEA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3776FF52"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AFBE9A5A"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EA8456B0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3474998E">
      <w:numFmt w:val="bullet"/>
      <w:lvlText w:val="•"/>
      <w:lvlJc w:val="left"/>
      <w:pPr>
        <w:ind w:left="76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63"/>
    <w:rsid w:val="003255C3"/>
    <w:rsid w:val="004A4B35"/>
    <w:rsid w:val="005E3C8E"/>
    <w:rsid w:val="007A56A8"/>
    <w:rsid w:val="00A14DC5"/>
    <w:rsid w:val="00A77A6E"/>
    <w:rsid w:val="00A85E16"/>
    <w:rsid w:val="00C44CB6"/>
    <w:rsid w:val="00C74C63"/>
    <w:rsid w:val="00DE4E57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9820"/>
  <w15:docId w15:val="{73AA0004-663F-4CF1-A8AC-3B5A095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3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C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3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C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7E50F-DDCB-4C46-9794-061E1631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C1E95-00F7-46FA-8992-19160D6F9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E39C0-AD8F-4437-9C48-85E9F1424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GR22 Info for website.doc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GR22 Info for website.doc</dc:title>
  <dc:creator>kmarcham</dc:creator>
  <cp:lastModifiedBy>Callan, Ashley</cp:lastModifiedBy>
  <cp:revision>3</cp:revision>
  <dcterms:created xsi:type="dcterms:W3CDTF">2021-12-27T21:23:00Z</dcterms:created>
  <dcterms:modified xsi:type="dcterms:W3CDTF">2021-12-30T00:51:00Z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2021-12-17T00:00:00Z</vt:filetime>
  </property>
  <property fmtid="{D5CDD505-2E9C-101B-9397-08002B2CF9AE}" pid="5" name="ContentTypeId">
    <vt:lpwstr>0x0101003598BE9AC6E2E54E98D8FEC6E21A3E45</vt:lpwstr>
  </property>
</Properties>
</file>